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421" w:val="left" w:leader="none"/>
        </w:tabs>
        <w:spacing w:before="62" w:after="45"/>
        <w:ind w:left="421"/>
      </w:pPr>
      <w:r>
        <w:rPr>
          <w:w w:val="55"/>
        </w:rPr>
        <w:t>ตั้งแต่วันที่</w:t>
      </w:r>
      <w:r>
        <w:rPr>
          <w:spacing w:val="15"/>
        </w:rPr>
        <w:t> </w:t>
      </w:r>
      <w:r>
        <w:rPr>
          <w:w w:val="55"/>
        </w:rPr>
        <w:t>01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w w:val="55"/>
        </w:rPr>
        <w:t>2568</w:t>
      </w:r>
      <w:r>
        <w:rPr>
          <w:spacing w:val="16"/>
        </w:rPr>
        <w:t> </w:t>
      </w:r>
      <w:r>
        <w:rPr>
          <w:w w:val="55"/>
        </w:rPr>
        <w:t>ถึง</w:t>
      </w:r>
      <w:r>
        <w:rPr>
          <w:spacing w:val="16"/>
        </w:rPr>
        <w:t> </w:t>
      </w:r>
      <w:r>
        <w:rPr>
          <w:w w:val="55"/>
        </w:rPr>
        <w:t>31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spacing w:val="-4"/>
          <w:w w:val="55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15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15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08:44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2025-04-28T02:15:11Z</dcterms:created>
  <dcterms:modified xsi:type="dcterms:W3CDTF">2025-04-28T02:15:11Z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